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中共甘州区委机构编制委员会办公室</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年部门预算公开情况说明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880" w:firstLineChars="200"/>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目录</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第一部分</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部门基本概况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二、机构设置情况</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第二部分</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年部门预算情况说明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一、收支总体情况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pacing w:val="-20"/>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pacing w:val="-20"/>
          <w:sz w:val="32"/>
          <w:szCs w:val="32"/>
        </w:rPr>
        <w:t>一般公共预算财政拨款“三公”经费、培训费、会议费等情况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四、一般公共预算财政拨款机关运行经费情况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五、政府采购安排情况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六、国有资产占用情况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七、其他重要事项情况说明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八、预算绩效管理情况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 w:eastAsia="仿宋_GB2312"/>
          <w:b/>
          <w:color w:val="000000"/>
          <w:sz w:val="30"/>
          <w:szCs w:val="30"/>
          <w:lang w:eastAsia="zh-CN"/>
        </w:rPr>
      </w:pPr>
      <w:r>
        <w:rPr>
          <w:rFonts w:hint="eastAsia" w:ascii="仿宋_GB2312" w:hAnsi="仿宋_GB2312" w:eastAsia="仿宋_GB2312" w:cs="仿宋_GB2312"/>
          <w:sz w:val="32"/>
          <w:szCs w:val="32"/>
        </w:rPr>
        <w:t>九、名词解释</w:t>
      </w:r>
    </w:p>
    <w:p>
      <w:pPr>
        <w:spacing w:line="560" w:lineRule="exact"/>
        <w:ind w:firstLine="643" w:firstLineChars="200"/>
        <w:jc w:val="left"/>
        <w:rPr>
          <w:rFonts w:hint="eastAsia" w:ascii="仿宋_GB2312" w:hAnsi="仿宋" w:eastAsia="仿宋_GB2312"/>
          <w:b/>
          <w:color w:val="000000"/>
          <w:sz w:val="32"/>
          <w:szCs w:val="32"/>
        </w:rPr>
      </w:pPr>
      <w:r>
        <w:rPr>
          <w:rFonts w:hint="eastAsia" w:ascii="仿宋_GB2312" w:hAnsi="仿宋" w:eastAsia="仿宋_GB2312"/>
          <w:b/>
          <w:color w:val="000000"/>
          <w:sz w:val="32"/>
          <w:szCs w:val="32"/>
          <w:lang w:eastAsia="zh-CN"/>
        </w:rPr>
        <w:t>附件：</w:t>
      </w:r>
      <w:r>
        <w:rPr>
          <w:rFonts w:hint="eastAsia" w:ascii="仿宋_GB2312" w:hAnsi="仿宋" w:eastAsia="仿宋_GB2312"/>
          <w:b/>
          <w:color w:val="000000"/>
          <w:sz w:val="32"/>
          <w:szCs w:val="32"/>
          <w:lang w:val="en-US" w:eastAsia="zh-CN"/>
        </w:rPr>
        <w:t>1.</w:t>
      </w:r>
      <w:r>
        <w:rPr>
          <w:rFonts w:hint="eastAsia" w:ascii="仿宋_GB2312" w:hAnsi="仿宋" w:eastAsia="仿宋_GB2312"/>
          <w:b/>
          <w:color w:val="000000"/>
          <w:sz w:val="32"/>
          <w:szCs w:val="32"/>
        </w:rPr>
        <w:t xml:space="preserve"> </w:t>
      </w:r>
      <w:r>
        <w:rPr>
          <w:rFonts w:hint="eastAsia" w:ascii="仿宋_GB2312" w:hAnsi="仿宋" w:eastAsia="仿宋_GB2312"/>
          <w:b/>
          <w:color w:val="000000"/>
          <w:sz w:val="32"/>
          <w:szCs w:val="32"/>
          <w:lang w:eastAsia="zh-CN"/>
        </w:rPr>
        <w:t>202</w:t>
      </w:r>
      <w:r>
        <w:rPr>
          <w:rFonts w:hint="eastAsia" w:ascii="仿宋_GB2312" w:hAnsi="仿宋" w:eastAsia="仿宋_GB2312"/>
          <w:b/>
          <w:color w:val="000000"/>
          <w:sz w:val="32"/>
          <w:szCs w:val="32"/>
          <w:lang w:val="en-US" w:eastAsia="zh-CN"/>
        </w:rPr>
        <w:t>6</w:t>
      </w:r>
      <w:r>
        <w:rPr>
          <w:rFonts w:hint="eastAsia" w:ascii="仿宋_GB2312" w:hAnsi="仿宋" w:eastAsia="仿宋_GB2312"/>
          <w:b/>
          <w:color w:val="000000"/>
          <w:sz w:val="32"/>
          <w:szCs w:val="32"/>
        </w:rPr>
        <w:t>年部门预算公开表</w:t>
      </w:r>
    </w:p>
    <w:p>
      <w:pPr>
        <w:spacing w:line="560" w:lineRule="exact"/>
        <w:ind w:firstLine="1606" w:firstLineChars="500"/>
        <w:jc w:val="left"/>
        <w:rPr>
          <w:rFonts w:hint="eastAsia" w:ascii="仿宋_GB2312" w:hAnsi="仿宋" w:eastAsia="仿宋_GB2312"/>
          <w:b/>
          <w:color w:val="000000"/>
          <w:sz w:val="32"/>
          <w:szCs w:val="32"/>
        </w:rPr>
      </w:pPr>
      <w:r>
        <w:rPr>
          <w:rFonts w:hint="eastAsia" w:ascii="仿宋_GB2312" w:hAnsi="仿宋" w:eastAsia="仿宋_GB2312"/>
          <w:b/>
          <w:color w:val="000000"/>
          <w:sz w:val="32"/>
          <w:szCs w:val="32"/>
          <w:lang w:val="en-US" w:eastAsia="zh-CN"/>
        </w:rPr>
        <w:t>2.</w:t>
      </w:r>
      <w:r>
        <w:rPr>
          <w:rFonts w:hint="eastAsia" w:ascii="仿宋_GB2312" w:hAnsi="仿宋" w:eastAsia="仿宋_GB2312"/>
          <w:b/>
          <w:color w:val="000000"/>
          <w:sz w:val="32"/>
          <w:szCs w:val="32"/>
        </w:rPr>
        <w:t>单位整体支出绩效目标表和项目支出绩效目标表</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_GB2312" w:eastAsia="仿宋_GB2312" w:cs="仿宋_GB2312"/>
          <w:b/>
          <w:bCs/>
          <w:sz w:val="32"/>
          <w:szCs w:val="32"/>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前言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中华人民共和国预算法》《中华人民共和国预算法实施条例》以及财政部《地方预决算公开操作规程》《关于推进部门所属单位预算公开的指导意见》和《中共甘肃省委办公厅甘肃省人民政府办公厅关于进一步推进预算公开工作的实施方案》要求，现将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年部门预算公开如下：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一、部门职责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甘州区委机构编制委员会办公室是负责全区党政机关，人大、政协机关，法院、检察院机关，各民主党派、人民团体机关及事业单位的机构编制管理工作。审核区委、区政府部门和区人大、区政协、区法院、区检察院机关，区各人民团体机关的主要职责、内设机构、人员编制方案。协调区委各部门、区政府各部门、区委部门与区政府部门以及区与乡（镇）的职责分工。拟定全区事业单位管理体制和机构改革总体方案并组织实施；审核全区事业单位的机构设置、人员编制、领导职数、人员结构比例、经费预算形式等。指导协调全区事业单位管理体制改革和机构编制管理工作。负责全区行政管理体制和机构改革方案、事业单位管理体制和机构改革方案以及机构编制管理政策法规执行情况的监督检查，开展区政府部门“三定”规定执行情况评估工作。负责全区机关和事业单位机构编制实名制管理工作；负责全区机关和事业单位人员招录（聘）和人员调入的机构编制审核工作。参与有关体制改革的调查研究和方案的拟定工作；承办报送区政府有关地方性法规、规章和规范性文件中涉及职责任务、机构编制内容的审核、修改工作；参与行政审批制度改革工作。建立和完善全区事业单位法人登记管理制度，依法对区属事业单位进行网上登记管理。承办区委、区政府和区机构编制委员会交办的其他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二、机构设置情况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区委编办现有内设股室3个，为综合股、行政股和事业股；下属事业单位１个，为中共甘州区委机构编制委员会办公室电子政务中心。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三、单位收支总体情况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年部门收支总预算</w:t>
      </w:r>
      <w:r>
        <w:rPr>
          <w:rFonts w:hint="eastAsia" w:ascii="仿宋_GB2312" w:hAnsi="仿宋_GB2312" w:eastAsia="仿宋_GB2312" w:cs="仿宋_GB2312"/>
          <w:sz w:val="32"/>
          <w:szCs w:val="32"/>
          <w:lang w:val="en-US" w:eastAsia="zh-CN"/>
        </w:rPr>
        <w:t>282.10</w:t>
      </w:r>
      <w:r>
        <w:rPr>
          <w:rFonts w:hint="eastAsia" w:ascii="仿宋_GB2312" w:hAnsi="仿宋_GB2312" w:eastAsia="仿宋_GB2312" w:cs="仿宋_GB2312"/>
          <w:sz w:val="32"/>
          <w:szCs w:val="32"/>
        </w:rPr>
        <w:t>万元。按照综合预算的原则，部门所有收入和支出均纳入部门预算管理。收入包括：一般公共预算拨款收入；支出包括：一般公共服务支出、社会保障和就业支出、卫生健康支出、交通运输支出、住房保障支出。</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（一）收入预算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282.10</w:t>
      </w:r>
      <w:r>
        <w:rPr>
          <w:rFonts w:hint="eastAsia" w:ascii="仿宋_GB2312" w:hAnsi="仿宋_GB2312" w:eastAsia="仿宋_GB2312" w:cs="仿宋_GB2312"/>
          <w:sz w:val="32"/>
          <w:szCs w:val="32"/>
        </w:rPr>
        <w:t>万元。包括：</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一般公共预算收入</w:t>
      </w:r>
      <w:r>
        <w:rPr>
          <w:rFonts w:hint="eastAsia" w:ascii="仿宋_GB2312" w:hAnsi="仿宋_GB2312" w:eastAsia="仿宋_GB2312" w:cs="仿宋_GB2312"/>
          <w:sz w:val="32"/>
          <w:szCs w:val="32"/>
          <w:lang w:val="en-US" w:eastAsia="zh-CN"/>
        </w:rPr>
        <w:t>282.10</w:t>
      </w:r>
      <w:r>
        <w:rPr>
          <w:rFonts w:hint="eastAsia" w:ascii="仿宋_GB2312" w:hAnsi="仿宋_GB2312" w:eastAsia="仿宋_GB2312" w:cs="仿宋_GB2312"/>
          <w:sz w:val="32"/>
          <w:szCs w:val="32"/>
        </w:rPr>
        <w:t>万元，占100％；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政府性基金预算收入0万元，占0％；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上年结转收入0万元，占0％；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其他收入0万元，占0％。</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（二）支出预算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282.10</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276.10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％；上年结转0万元，占0％。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四、一般公共预算情况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年一般公共预算当年支出</w:t>
      </w:r>
      <w:r>
        <w:rPr>
          <w:rFonts w:hint="eastAsia" w:ascii="仿宋_GB2312" w:hAnsi="仿宋_GB2312" w:eastAsia="仿宋_GB2312" w:cs="仿宋_GB2312"/>
          <w:sz w:val="32"/>
          <w:szCs w:val="32"/>
          <w:lang w:val="en-US" w:eastAsia="zh-CN"/>
        </w:rPr>
        <w:t>282.10</w:t>
      </w:r>
      <w:r>
        <w:rPr>
          <w:rFonts w:hint="eastAsia" w:ascii="仿宋_GB2312" w:hAnsi="仿宋_GB2312" w:eastAsia="仿宋_GB2312" w:cs="仿宋_GB2312"/>
          <w:sz w:val="32"/>
          <w:szCs w:val="32"/>
        </w:rPr>
        <w:t>万元，包括：一般公共服务支出</w:t>
      </w:r>
      <w:r>
        <w:rPr>
          <w:rFonts w:hint="eastAsia" w:ascii="仿宋_GB2312" w:hAnsi="仿宋_GB2312" w:eastAsia="仿宋_GB2312" w:cs="仿宋_GB2312"/>
          <w:sz w:val="32"/>
          <w:szCs w:val="32"/>
          <w:lang w:val="en-US" w:eastAsia="zh-CN"/>
        </w:rPr>
        <w:t>212.49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科学技术支出6万元、</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28.16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14.08</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21.37</w:t>
      </w:r>
      <w:r>
        <w:rPr>
          <w:rFonts w:hint="eastAsia" w:ascii="仿宋_GB2312" w:hAnsi="仿宋_GB2312" w:eastAsia="仿宋_GB2312" w:cs="仿宋_GB2312"/>
          <w:sz w:val="32"/>
          <w:szCs w:val="32"/>
        </w:rPr>
        <w:t>万元。具体安排情况如下：</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（一）基本支出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年基本支出</w:t>
      </w:r>
      <w:r>
        <w:rPr>
          <w:rFonts w:hint="eastAsia" w:ascii="仿宋_GB2312" w:hAnsi="仿宋_GB2312" w:eastAsia="仿宋_GB2312" w:cs="仿宋_GB2312"/>
          <w:sz w:val="32"/>
          <w:szCs w:val="32"/>
          <w:lang w:val="en-US" w:eastAsia="zh-CN"/>
        </w:rPr>
        <w:t>276.10</w:t>
      </w:r>
      <w:r>
        <w:rPr>
          <w:rFonts w:hint="eastAsia" w:ascii="仿宋_GB2312" w:hAnsi="仿宋_GB2312" w:eastAsia="仿宋_GB2312" w:cs="仿宋_GB2312"/>
          <w:sz w:val="32"/>
          <w:szCs w:val="32"/>
        </w:rPr>
        <w:t>万元，比2024年预算增加</w:t>
      </w:r>
      <w:r>
        <w:rPr>
          <w:rFonts w:hint="eastAsia" w:ascii="仿宋_GB2312" w:hAnsi="仿宋_GB2312" w:eastAsia="仿宋_GB2312" w:cs="仿宋_GB2312"/>
          <w:sz w:val="32"/>
          <w:szCs w:val="32"/>
          <w:lang w:val="en-US" w:eastAsia="zh-CN"/>
        </w:rPr>
        <w:t>76.54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％，增长的主要原因是人员增加，工资、社会保险及住房公积金增加。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其中：人员经费支出</w:t>
      </w:r>
      <w:r>
        <w:rPr>
          <w:rFonts w:hint="eastAsia" w:ascii="仿宋_GB2312" w:hAnsi="仿宋_GB2312" w:eastAsia="仿宋_GB2312" w:cs="仿宋_GB2312"/>
          <w:sz w:val="32"/>
          <w:szCs w:val="32"/>
          <w:lang w:val="en-US" w:eastAsia="zh-CN"/>
        </w:rPr>
        <w:t>257.44</w:t>
      </w:r>
      <w:r>
        <w:rPr>
          <w:rFonts w:hint="eastAsia" w:ascii="仿宋_GB2312" w:hAnsi="仿宋_GB2312" w:eastAsia="仿宋_GB2312" w:cs="仿宋_GB2312"/>
          <w:sz w:val="32"/>
          <w:szCs w:val="32"/>
        </w:rPr>
        <w:t>万元，主要包括：基本工资、绩效工资、奖金、津贴补贴、机关事业单位基本养老保险缴费、其他社会保障缴费、职工基本医疗保险缴费、公务员医疗补助缴费、住房公积金、其他对个人和家庭的补助、医疗费补助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公用经费支出</w:t>
      </w:r>
      <w:r>
        <w:rPr>
          <w:rFonts w:hint="eastAsia" w:ascii="仿宋_GB2312" w:hAnsi="仿宋_GB2312" w:eastAsia="仿宋_GB2312" w:cs="仿宋_GB2312"/>
          <w:sz w:val="32"/>
          <w:szCs w:val="32"/>
          <w:lang w:val="en-US" w:eastAsia="zh-CN"/>
        </w:rPr>
        <w:t>18.66</w:t>
      </w:r>
      <w:r>
        <w:rPr>
          <w:rFonts w:hint="eastAsia" w:ascii="仿宋_GB2312" w:hAnsi="仿宋_GB2312" w:eastAsia="仿宋_GB2312" w:cs="仿宋_GB2312"/>
          <w:sz w:val="32"/>
          <w:szCs w:val="32"/>
        </w:rPr>
        <w:t>万元，主要包括：办公费、工会经费、福利费、其他交通费用等。</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年一般公共预算财政拨款项目支出预算</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（三）支出功能分类说明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1．一般公共服务支出</w:t>
      </w:r>
      <w:r>
        <w:rPr>
          <w:rFonts w:hint="eastAsia" w:ascii="仿宋_GB2312" w:hAnsi="仿宋_GB2312" w:eastAsia="仿宋_GB2312" w:cs="仿宋_GB2312"/>
          <w:sz w:val="32"/>
          <w:szCs w:val="32"/>
          <w:lang w:val="en-US" w:eastAsia="zh-CN"/>
        </w:rPr>
        <w:t>212.49</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val="en-US" w:eastAsia="zh-CN"/>
        </w:rPr>
        <w:t>增加57.51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w:t>
      </w:r>
      <w:r>
        <w:rPr>
          <w:rFonts w:hint="eastAsia" w:ascii="仿宋_GB2312" w:hAnsi="仿宋_GB2312" w:eastAsia="仿宋_GB2312" w:cs="仿宋_GB2312"/>
          <w:sz w:val="32"/>
          <w:szCs w:val="32"/>
        </w:rPr>
        <w:t>幅为</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的主要原因</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人员增加。</w:t>
      </w:r>
    </w:p>
    <w:p>
      <w:pPr>
        <w:pStyle w:val="2"/>
        <w:rPr>
          <w:rFonts w:hint="default" w:eastAsia="仿宋_GB2312"/>
          <w:lang w:val="en-US" w:eastAsia="zh-CN"/>
        </w:rPr>
      </w:pPr>
      <w:r>
        <w:rPr>
          <w:rFonts w:hint="eastAsia" w:ascii="仿宋_GB2312" w:hAnsi="仿宋_GB2312" w:eastAsia="仿宋_GB2312" w:cs="仿宋_GB2312"/>
          <w:sz w:val="32"/>
          <w:szCs w:val="32"/>
          <w:lang w:val="en-US" w:eastAsia="zh-CN"/>
        </w:rPr>
        <w:t>2.科学技术支出6万元，</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val="en-US" w:eastAsia="zh-CN"/>
        </w:rPr>
        <w:t>增加6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w:t>
      </w:r>
      <w:r>
        <w:rPr>
          <w:rFonts w:hint="eastAsia" w:ascii="仿宋_GB2312" w:hAnsi="仿宋_GB2312" w:eastAsia="仿宋_GB2312" w:cs="仿宋_GB2312"/>
          <w:sz w:val="32"/>
          <w:szCs w:val="32"/>
        </w:rPr>
        <w:t>幅为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的主要原因</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lang w:val="en-US" w:eastAsia="zh-CN"/>
        </w:rPr>
        <w:t>2025年强科技奖补资金剩余6万元，结转本年度使用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28.16</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8.56</w:t>
      </w:r>
      <w:r>
        <w:rPr>
          <w:rFonts w:hint="eastAsia" w:ascii="仿宋_GB2312" w:hAnsi="仿宋_GB2312" w:eastAsia="仿宋_GB2312" w:cs="仿宋_GB2312"/>
          <w:sz w:val="32"/>
          <w:szCs w:val="32"/>
        </w:rPr>
        <w:t>万元，增幅为</w:t>
      </w:r>
      <w:r>
        <w:rPr>
          <w:rFonts w:hint="eastAsia" w:ascii="仿宋_GB2312" w:hAnsi="仿宋_GB2312" w:eastAsia="仿宋_GB2312" w:cs="仿宋_GB2312"/>
          <w:sz w:val="32"/>
          <w:szCs w:val="32"/>
          <w:lang w:val="en-US" w:eastAsia="zh-CN"/>
        </w:rPr>
        <w:t>43.67</w:t>
      </w:r>
      <w:r>
        <w:rPr>
          <w:rFonts w:hint="eastAsia" w:ascii="仿宋_GB2312" w:hAnsi="仿宋_GB2312" w:eastAsia="仿宋_GB2312" w:cs="仿宋_GB2312"/>
          <w:sz w:val="32"/>
          <w:szCs w:val="32"/>
        </w:rPr>
        <w:t>％，增加的主要原因是人员增加及社保基数增长。</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14.08</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4.29</w:t>
      </w:r>
      <w:r>
        <w:rPr>
          <w:rFonts w:hint="eastAsia" w:ascii="仿宋_GB2312" w:hAnsi="仿宋_GB2312" w:eastAsia="仿宋_GB2312" w:cs="仿宋_GB2312"/>
          <w:sz w:val="32"/>
          <w:szCs w:val="32"/>
        </w:rPr>
        <w:t>万元，</w:t>
      </w:r>
      <w:r>
        <w:rPr>
          <w:rFonts w:hint="eastAsia" w:ascii="仿宋_GB2312" w:hAnsi="仿宋_GB2312" w:eastAsia="仿宋_GB2312" w:cs="仿宋_GB2312"/>
          <w:spacing w:val="-6"/>
          <w:sz w:val="32"/>
          <w:szCs w:val="32"/>
        </w:rPr>
        <w:t>增幅为</w:t>
      </w:r>
      <w:r>
        <w:rPr>
          <w:rFonts w:hint="eastAsia" w:ascii="仿宋_GB2312" w:hAnsi="仿宋_GB2312" w:eastAsia="仿宋_GB2312" w:cs="仿宋_GB2312"/>
          <w:spacing w:val="-6"/>
          <w:sz w:val="32"/>
          <w:szCs w:val="32"/>
          <w:lang w:val="en-US" w:eastAsia="zh-CN"/>
        </w:rPr>
        <w:t>43.82</w:t>
      </w:r>
      <w:r>
        <w:rPr>
          <w:rFonts w:hint="eastAsia" w:ascii="仿宋_GB2312" w:hAnsi="仿宋_GB2312" w:eastAsia="仿宋_GB2312" w:cs="仿宋_GB2312"/>
          <w:spacing w:val="-6"/>
          <w:sz w:val="32"/>
          <w:szCs w:val="32"/>
        </w:rPr>
        <w:t>％，增加的主要原因是人员增加及医保缴费基数增长。</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21.37</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6.18</w:t>
      </w:r>
      <w:r>
        <w:rPr>
          <w:rFonts w:hint="eastAsia" w:ascii="仿宋_GB2312" w:hAnsi="仿宋_GB2312" w:eastAsia="仿宋_GB2312" w:cs="仿宋_GB2312"/>
          <w:sz w:val="32"/>
          <w:szCs w:val="32"/>
        </w:rPr>
        <w:t>万元，增幅为</w:t>
      </w:r>
      <w:r>
        <w:rPr>
          <w:rFonts w:hint="eastAsia" w:ascii="仿宋_GB2312" w:hAnsi="仿宋_GB2312" w:eastAsia="仿宋_GB2312" w:cs="仿宋_GB2312"/>
          <w:sz w:val="32"/>
          <w:szCs w:val="32"/>
          <w:lang w:val="en-US" w:eastAsia="zh-CN"/>
        </w:rPr>
        <w:t>40.68</w:t>
      </w:r>
      <w:r>
        <w:rPr>
          <w:rFonts w:hint="eastAsia" w:ascii="仿宋_GB2312" w:hAnsi="仿宋_GB2312" w:eastAsia="仿宋_GB2312" w:cs="仿宋_GB2312"/>
          <w:sz w:val="32"/>
          <w:szCs w:val="32"/>
        </w:rPr>
        <w:t>％，增加的主要原因是人员增加及公积金基数增长。</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五、单位一般公共预算财政拨款“三公”经费、培训费、会议费等情况</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（一）“三公”经费情况说明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“三公”经费预算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无变化</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1．因公出国（境）费用0万元，较202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bookmarkStart w:id="0" w:name="OLE_LINK1"/>
      <w:r>
        <w:rPr>
          <w:rFonts w:hint="eastAsia" w:ascii="仿宋_GB2312" w:hAnsi="仿宋_GB2312" w:eastAsia="仿宋_GB2312" w:cs="仿宋_GB2312"/>
          <w:sz w:val="32"/>
          <w:szCs w:val="32"/>
        </w:rPr>
        <w:t>无变化</w:t>
      </w:r>
      <w:bookmarkEnd w:id="0"/>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年无变化。</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3．公务用车购置及运行维护费0万元（其中：公务用车购置0万元，公务用车运行维护费0万元），较202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年无变化。</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（二）培训费预算情况说明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4．培训费0万元，较202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年预算无变化。</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（三）会议费预算情况说明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5．会议费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年无变化。</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六、一般公共预算财政拨款机关运行经费情况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机关运行经费</w:t>
      </w:r>
      <w:r>
        <w:rPr>
          <w:rFonts w:hint="eastAsia" w:ascii="仿宋_GB2312" w:hAnsi="仿宋_GB2312" w:eastAsia="仿宋_GB2312" w:cs="仿宋_GB2312"/>
          <w:sz w:val="32"/>
          <w:szCs w:val="32"/>
          <w:lang w:val="en-US" w:eastAsia="zh-CN"/>
        </w:rPr>
        <w:t>16.89</w:t>
      </w:r>
      <w:r>
        <w:rPr>
          <w:rFonts w:hint="eastAsia" w:ascii="仿宋_GB2312" w:hAnsi="仿宋_GB2312" w:eastAsia="仿宋_GB2312" w:cs="仿宋_GB2312"/>
          <w:sz w:val="32"/>
          <w:szCs w:val="32"/>
        </w:rPr>
        <w:t>万元（不含取暖费等），较202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val="en-US" w:eastAsia="zh-CN"/>
        </w:rPr>
        <w:t>增加8.16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增加93.47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的主要原因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是人员增加</w:t>
      </w:r>
      <w:r>
        <w:rPr>
          <w:rFonts w:hint="eastAsia" w:ascii="仿宋_GB2312" w:hAnsi="仿宋_GB2312" w:eastAsia="仿宋_GB2312" w:cs="仿宋_GB2312"/>
          <w:sz w:val="32"/>
          <w:szCs w:val="32"/>
          <w:lang w:val="en-US" w:eastAsia="zh-CN"/>
        </w:rPr>
        <w:t>相应办公费增加；二是项目支出增加6万元</w:t>
      </w:r>
      <w:bookmarkStart w:id="1" w:name="_GoBack"/>
      <w:bookmarkEnd w:id="1"/>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七、政府采购安排情况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年，部门政府采购预算总额</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万元，政府采购工程预算0万元，政府采购服务预算</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年，部门面向中小企业预留政府采购项目预算金额</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万元，小微企业预留政府采购项目预算金额</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八、国有资产占用情况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上年末固定资产金额为</w:t>
      </w:r>
      <w:r>
        <w:rPr>
          <w:rFonts w:hint="eastAsia" w:ascii="仿宋_GB2312" w:hAnsi="仿宋_GB2312" w:eastAsia="仿宋_GB2312" w:cs="仿宋_GB2312"/>
          <w:sz w:val="32"/>
          <w:szCs w:val="32"/>
          <w:lang w:val="en-US" w:eastAsia="zh-CN"/>
        </w:rPr>
        <w:t>19.74</w:t>
      </w:r>
      <w:r>
        <w:rPr>
          <w:rFonts w:hint="eastAsia" w:ascii="仿宋_GB2312" w:hAnsi="仿宋_GB2312" w:eastAsia="仿宋_GB2312" w:cs="仿宋_GB2312"/>
          <w:sz w:val="32"/>
          <w:szCs w:val="32"/>
        </w:rPr>
        <w:t>万元。其中：办公用房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平方米。预算部门共有公务用车0辆，价值0万元。单价20万元以上的设备价值0万元。202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年拟采购固定资产约0万元。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九、其他重要事项情况说明</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（一）政府性基金预算支出情况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未安排预算，政府性基金预算支出情况表为空表。</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（二）非税收入情况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年无非税收入。</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（三）重点项目情况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本单位年初预算无重点项目说明。</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（四）部门管理转移支付情况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未安排预算，单位管理转移支付表为空表。</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（五）国有资本经营预算支出情况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未安排预算，国有资本经营预算支出情况表为空表。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十、预算绩效管理情况</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（一）202</w:t>
      </w:r>
      <w:r>
        <w:rPr>
          <w:rFonts w:hint="eastAsia" w:ascii="楷体_GB2312" w:hAnsi="楷体_GB2312" w:eastAsia="楷体_GB2312" w:cs="楷体_GB2312"/>
          <w:b/>
          <w:bCs/>
          <w:sz w:val="32"/>
          <w:szCs w:val="32"/>
          <w:lang w:val="en-US" w:eastAsia="zh-CN"/>
        </w:rPr>
        <w:t>5</w:t>
      </w:r>
      <w:r>
        <w:rPr>
          <w:rFonts w:hint="eastAsia" w:ascii="楷体_GB2312" w:hAnsi="楷体_GB2312" w:eastAsia="楷体_GB2312" w:cs="楷体_GB2312"/>
          <w:b/>
          <w:bCs/>
          <w:sz w:val="32"/>
          <w:szCs w:val="32"/>
        </w:rPr>
        <w:t>年预算绩效管理工作情况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中共中央国务院关于全面实施预算绩效管理的意见》《中共甘肃省委甘肃省人民政府关于全面实施预算绩效管理的实施意见》等相关要求，我们将绩效理念和方法融入预算编制、执行、决算和监督全过程认真开展各项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1．绩效目标管理情况。202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年度，按照“谁申请资金，谁设置目标”的原则，纳入部门预算管理的部门整体支出和项目绩效目标</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个，按规定随年度预算一并公开项目</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个，公开率为100％。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2．绩效运行监控情况。202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年10月，组织开展1－9月绩效运行监控项目</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个，占本部门项目的100％。截至9月底，预算执行和绩效目标指标值的项目2个，完成率为</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％。“双监控”没有发现存在的问题。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3．绩效自评开展情况。202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年度，组织开展绩效自评项目共</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个，其中，部门整体支出1个，项目支出</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个，绩效自评覆盖率为100％。绩效自评结果随部门决算报送财政和随决算公开情况：</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个项目全部进行了公开，公开率100％。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4．绩效结果应用情况。根据202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年度绩效运行监控、绩效自评等情况，当年盘活财政资金0万元，2025年度部门预算项目</w:t>
      </w:r>
      <w:r>
        <w:rPr>
          <w:rFonts w:hint="eastAsia" w:ascii="仿宋_GB2312" w:hAnsi="仿宋_GB2312" w:eastAsia="仿宋_GB2312" w:cs="仿宋_GB2312"/>
          <w:sz w:val="32"/>
          <w:szCs w:val="32"/>
          <w:lang w:val="en-US" w:eastAsia="zh-CN"/>
        </w:rPr>
        <w:t>增加4个</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（二）2025年绩效目标编制情况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年，纳入部门预算绩效目标管理的项目1个。其中，部门整体支出绩效目标围绕</w:t>
      </w:r>
      <w:r>
        <w:rPr>
          <w:rFonts w:hint="eastAsia" w:ascii="仿宋_GB2312" w:hAnsi="仿宋_GB2312" w:eastAsia="仿宋_GB2312" w:cs="仿宋_GB2312"/>
          <w:sz w:val="32"/>
          <w:szCs w:val="32"/>
          <w:lang w:eastAsia="zh-CN"/>
        </w:rPr>
        <w:t>基本运行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重点履职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部门综合、可持续发展能力</w:t>
      </w:r>
      <w:r>
        <w:rPr>
          <w:rFonts w:hint="eastAsia" w:ascii="仿宋_GB2312" w:hAnsi="仿宋_GB2312" w:eastAsia="仿宋_GB2312" w:cs="仿宋_GB2312"/>
          <w:sz w:val="32"/>
          <w:szCs w:val="32"/>
        </w:rPr>
        <w:t>三个维度，设置二级指标18个、三级指标2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个。各项绩效目标内容指向明确、细化量化、合理可行，符合规定的格式要求。</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十一、名词解释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1．财政拨款：指由一般公共预算、政府性基金预算、国有资本经营预算安排的财政拨款数。</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2．一般公共预算：包括公共财政拨款（补助）资金、专项收入。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3．财政专户管理资金：包括专户管理行政事业性收费（主要是教育收费）、其他非税收入。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4．其他资金：包括事业收入、事业经营收入、其他收入等。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5．基本支出：包括人员经费、公用经费（定额）。其中，人员经费包括工资福利支出、对个人和家庭的补助。</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6．项目支出：部门（单位）支出预算的组成部分，是各部门（单位）为完成其特定的行政任务或事业发展目标，在基本支出预算之外编制的年度项目支出计划。</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机关运行经费：为保障行政单位（包括实行公务员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方正大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F799D"/>
    <w:rsid w:val="38A2545A"/>
    <w:rsid w:val="3C6253BF"/>
    <w:rsid w:val="4A32239B"/>
    <w:rsid w:val="530A247B"/>
    <w:rsid w:val="6E086735"/>
    <w:rsid w:val="720A7636"/>
    <w:rsid w:val="774B6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Indent"/>
    <w:qFormat/>
    <w:uiPriority w:val="0"/>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269</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2025-02-27T01:12:00Z</dcterms:created>
  <dc:creator>Administrator</dc:creator>
  <cp:lastModifiedBy>Administrator</cp:lastModifiedBy>
  <cp:lastPrinted>2026-03-25T02:27:20Z</cp:lastPrinted>
  <dcterms:modified xsi:type="dcterms:W3CDTF">2026-03-25T06:40:02Z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801B948F13CF43CA9D8C73594CEA6E1F</vt:lpwstr>
  </property>
</Properties>
</file>